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E0" w:rsidRPr="00AF0D5D" w:rsidRDefault="00060483" w:rsidP="00D854DF">
      <w:pPr>
        <w:spacing w:before="120"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English Proficiency Policy</w:t>
      </w:r>
    </w:p>
    <w:p w:rsidR="008A2B39" w:rsidRPr="008364C9" w:rsidRDefault="000544E0" w:rsidP="008A2B39">
      <w:pPr>
        <w:spacing w:before="60" w:after="60"/>
        <w:rPr>
          <w:color w:val="000000" w:themeColor="text1"/>
        </w:rPr>
      </w:pPr>
      <w:r w:rsidRPr="008364C9">
        <w:rPr>
          <w:b/>
          <w:color w:val="000000" w:themeColor="text1"/>
          <w:sz w:val="24"/>
        </w:rPr>
        <w:t>Policy Owner:</w:t>
      </w:r>
      <w:r w:rsidR="007D6892" w:rsidRPr="008364C9">
        <w:rPr>
          <w:b/>
          <w:color w:val="000000" w:themeColor="text1"/>
          <w:sz w:val="24"/>
        </w:rPr>
        <w:t xml:space="preserve"> </w:t>
      </w:r>
      <w:r w:rsidR="00C86D5E" w:rsidRPr="008364C9">
        <w:rPr>
          <w:b/>
          <w:color w:val="000000" w:themeColor="text1"/>
          <w:sz w:val="24"/>
        </w:rPr>
        <w:tab/>
      </w:r>
      <w:r w:rsidR="00340997" w:rsidRPr="008364C9">
        <w:rPr>
          <w:color w:val="000000" w:themeColor="text1"/>
          <w:sz w:val="24"/>
        </w:rPr>
        <w:t>Chief Academic Office</w:t>
      </w:r>
      <w:r w:rsidR="00AF2337">
        <w:rPr>
          <w:color w:val="000000" w:themeColor="text1"/>
        </w:rPr>
        <w:t>r</w:t>
      </w:r>
    </w:p>
    <w:p w:rsidR="008A2B39" w:rsidRPr="008364C9" w:rsidRDefault="008A2B39" w:rsidP="000544E0">
      <w:pPr>
        <w:spacing w:before="60" w:after="60"/>
        <w:rPr>
          <w:b/>
          <w:color w:val="000000" w:themeColor="text1"/>
          <w:sz w:val="24"/>
        </w:rPr>
      </w:pPr>
      <w:r w:rsidRPr="008364C9">
        <w:rPr>
          <w:b/>
          <w:color w:val="000000" w:themeColor="text1"/>
          <w:sz w:val="24"/>
        </w:rPr>
        <w:t xml:space="preserve">Policy </w:t>
      </w:r>
      <w:r w:rsidR="00C86D5E" w:rsidRPr="008364C9">
        <w:rPr>
          <w:b/>
          <w:color w:val="000000" w:themeColor="text1"/>
          <w:sz w:val="24"/>
        </w:rPr>
        <w:t>Statement:</w:t>
      </w:r>
    </w:p>
    <w:p w:rsidR="00C86D5E" w:rsidRPr="008364C9" w:rsidRDefault="00C86D5E" w:rsidP="000544E0">
      <w:pPr>
        <w:spacing w:before="60" w:after="60"/>
        <w:rPr>
          <w:color w:val="000000" w:themeColor="text1"/>
        </w:rPr>
      </w:pPr>
      <w:r w:rsidRPr="008364C9">
        <w:rPr>
          <w:color w:val="000000" w:themeColor="text1"/>
        </w:rPr>
        <w:t xml:space="preserve">For </w:t>
      </w:r>
      <w:r w:rsidR="00340997" w:rsidRPr="008364C9">
        <w:rPr>
          <w:color w:val="000000" w:themeColor="text1"/>
        </w:rPr>
        <w:t xml:space="preserve">international </w:t>
      </w:r>
      <w:r w:rsidRPr="008364C9">
        <w:rPr>
          <w:color w:val="000000" w:themeColor="text1"/>
        </w:rPr>
        <w:t>students to be admitted to study at Northwood University</w:t>
      </w:r>
      <w:r w:rsidR="00C30EF7">
        <w:rPr>
          <w:color w:val="000000" w:themeColor="text1"/>
        </w:rPr>
        <w:t>,</w:t>
      </w:r>
      <w:r w:rsidRPr="008364C9">
        <w:rPr>
          <w:color w:val="000000" w:themeColor="text1"/>
        </w:rPr>
        <w:t xml:space="preserve"> they must demonstrate sufficient </w:t>
      </w:r>
      <w:r w:rsidR="00A56674" w:rsidRPr="008364C9">
        <w:rPr>
          <w:color w:val="000000" w:themeColor="text1"/>
        </w:rPr>
        <w:t xml:space="preserve">English. </w:t>
      </w:r>
      <w:r w:rsidRPr="008364C9">
        <w:rPr>
          <w:color w:val="000000" w:themeColor="text1"/>
        </w:rPr>
        <w:t xml:space="preserve">This may be done </w:t>
      </w:r>
      <w:r w:rsidR="0078794A" w:rsidRPr="008364C9">
        <w:rPr>
          <w:color w:val="000000" w:themeColor="text1"/>
        </w:rPr>
        <w:t>in one of t</w:t>
      </w:r>
      <w:r w:rsidR="00A56674" w:rsidRPr="008364C9">
        <w:rPr>
          <w:color w:val="000000" w:themeColor="text1"/>
        </w:rPr>
        <w:t>wo</w:t>
      </w:r>
      <w:r w:rsidR="0078794A" w:rsidRPr="008364C9">
        <w:rPr>
          <w:color w:val="000000" w:themeColor="text1"/>
        </w:rPr>
        <w:t xml:space="preserve"> ways</w:t>
      </w:r>
      <w:r w:rsidR="00B0784B">
        <w:rPr>
          <w:color w:val="000000" w:themeColor="text1"/>
        </w:rPr>
        <w:t>.</w:t>
      </w:r>
    </w:p>
    <w:p w:rsidR="00330243" w:rsidRPr="008364C9" w:rsidRDefault="001F4AD9" w:rsidP="001F4AD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The proficiency exam requirement is waive</w:t>
      </w:r>
      <w:r w:rsidR="00C30EF7">
        <w:rPr>
          <w:color w:val="000000" w:themeColor="text1"/>
        </w:rPr>
        <w:t>d</w:t>
      </w:r>
      <w:r>
        <w:rPr>
          <w:color w:val="000000" w:themeColor="text1"/>
        </w:rPr>
        <w:t xml:space="preserve"> for students meeting one of the following requirements.</w:t>
      </w:r>
    </w:p>
    <w:p w:rsidR="009237F2" w:rsidRPr="00AE602F" w:rsidRDefault="009237F2" w:rsidP="00340997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8364C9">
        <w:rPr>
          <w:color w:val="000000" w:themeColor="text1"/>
        </w:rPr>
        <w:t xml:space="preserve">Students who </w:t>
      </w:r>
      <w:r w:rsidR="00330243" w:rsidRPr="008364C9">
        <w:rPr>
          <w:rFonts w:asciiTheme="minorHAnsi" w:hAnsiTheme="minorHAnsi"/>
          <w:color w:val="000000" w:themeColor="text1"/>
        </w:rPr>
        <w:t xml:space="preserve">are citizens of a country where English is the, or one of, the official languages (e.g., </w:t>
      </w:r>
      <w:r w:rsidR="00330243" w:rsidRPr="00AE602F">
        <w:rPr>
          <w:rFonts w:asciiTheme="minorHAnsi" w:hAnsiTheme="minorHAnsi"/>
          <w:color w:val="000000" w:themeColor="text1"/>
        </w:rPr>
        <w:t xml:space="preserve">Canada, United Kingdom, </w:t>
      </w:r>
      <w:proofErr w:type="gramStart"/>
      <w:r w:rsidR="00330243" w:rsidRPr="00AE602F">
        <w:rPr>
          <w:rFonts w:asciiTheme="minorHAnsi" w:hAnsiTheme="minorHAnsi"/>
          <w:color w:val="000000" w:themeColor="text1"/>
        </w:rPr>
        <w:t>Ireland</w:t>
      </w:r>
      <w:proofErr w:type="gramEnd"/>
      <w:r w:rsidR="00330243" w:rsidRPr="00AE602F">
        <w:rPr>
          <w:rFonts w:asciiTheme="minorHAnsi" w:hAnsiTheme="minorHAnsi"/>
          <w:color w:val="000000" w:themeColor="text1"/>
        </w:rPr>
        <w:t xml:space="preserve">) as designated in the CIA World </w:t>
      </w:r>
      <w:proofErr w:type="spellStart"/>
      <w:r w:rsidR="00330243" w:rsidRPr="00AE602F">
        <w:rPr>
          <w:rFonts w:asciiTheme="minorHAnsi" w:hAnsiTheme="minorHAnsi"/>
          <w:color w:val="000000" w:themeColor="text1"/>
        </w:rPr>
        <w:t>Factbook</w:t>
      </w:r>
      <w:proofErr w:type="spellEnd"/>
      <w:r w:rsidR="00330243" w:rsidRPr="00AE602F">
        <w:rPr>
          <w:rFonts w:asciiTheme="minorHAnsi" w:hAnsiTheme="minorHAnsi"/>
          <w:color w:val="000000" w:themeColor="text1"/>
        </w:rPr>
        <w:t xml:space="preserve"> at: https://www.cia.gov/library/publications/the-world-factbook/fields/2098.html</w:t>
      </w:r>
      <w:r w:rsidRPr="00AE602F">
        <w:rPr>
          <w:color w:val="000000" w:themeColor="text1"/>
        </w:rPr>
        <w:t>.</w:t>
      </w:r>
    </w:p>
    <w:p w:rsidR="008637D9" w:rsidRPr="00AE602F" w:rsidRDefault="008637D9" w:rsidP="00340997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AE602F">
        <w:rPr>
          <w:rFonts w:asciiTheme="minorHAnsi" w:hAnsiTheme="minorHAnsi"/>
          <w:color w:val="000000" w:themeColor="text1"/>
        </w:rPr>
        <w:t xml:space="preserve">Graduate school applicants </w:t>
      </w:r>
      <w:r w:rsidR="00C30EF7" w:rsidRPr="00AE602F">
        <w:rPr>
          <w:rFonts w:asciiTheme="minorHAnsi" w:hAnsiTheme="minorHAnsi"/>
          <w:color w:val="000000" w:themeColor="text1"/>
        </w:rPr>
        <w:t>who</w:t>
      </w:r>
      <w:r w:rsidRPr="00AE602F">
        <w:rPr>
          <w:rFonts w:asciiTheme="minorHAnsi" w:hAnsiTheme="minorHAnsi"/>
          <w:color w:val="000000" w:themeColor="text1"/>
        </w:rPr>
        <w:t xml:space="preserve"> completed their undergraduate coursework entirely in English.</w:t>
      </w:r>
    </w:p>
    <w:p w:rsidR="00492391" w:rsidRPr="00AE602F" w:rsidRDefault="00894ACB" w:rsidP="00340997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AE602F">
        <w:rPr>
          <w:rFonts w:asciiTheme="minorHAnsi" w:eastAsia="Times New Roman" w:hAnsiTheme="minorHAnsi" w:cs="Arial"/>
          <w:color w:val="333333"/>
        </w:rPr>
        <w:t>Proof of successful completion (e.g. high school or baccalaureate degree) at a foreign institution where the language of</w:t>
      </w:r>
      <w:r w:rsidR="003561C5" w:rsidRPr="00AE602F">
        <w:rPr>
          <w:rFonts w:asciiTheme="minorHAnsi" w:eastAsia="Times New Roman" w:hAnsiTheme="minorHAnsi" w:cs="Arial"/>
          <w:color w:val="333333"/>
        </w:rPr>
        <w:t xml:space="preserve"> instruction wa</w:t>
      </w:r>
      <w:r w:rsidR="008A1D29" w:rsidRPr="00AE602F">
        <w:rPr>
          <w:rFonts w:asciiTheme="minorHAnsi" w:eastAsia="Times New Roman" w:hAnsiTheme="minorHAnsi" w:cs="Arial"/>
          <w:color w:val="333333"/>
        </w:rPr>
        <w:t xml:space="preserve">s completed entirely in English. </w:t>
      </w:r>
    </w:p>
    <w:p w:rsidR="00894ACB" w:rsidRPr="00AE602F" w:rsidRDefault="00894ACB" w:rsidP="00AF2337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AE602F">
        <w:rPr>
          <w:rFonts w:asciiTheme="minorHAnsi" w:eastAsia="Times New Roman" w:hAnsiTheme="minorHAnsi" w:cs="Arial"/>
          <w:color w:val="333333"/>
        </w:rPr>
        <w:t>English as a Foreign Language (EFL) or English as a Second Language (ESL) coursework does not qualify.</w:t>
      </w:r>
      <w:r w:rsidR="003561C5" w:rsidRPr="00AE602F">
        <w:rPr>
          <w:rFonts w:asciiTheme="minorHAnsi" w:eastAsia="Times New Roman" w:hAnsiTheme="minorHAnsi" w:cs="Arial"/>
          <w:color w:val="333333"/>
        </w:rPr>
        <w:t xml:space="preserve"> </w:t>
      </w:r>
    </w:p>
    <w:p w:rsidR="008E343D" w:rsidRPr="008364C9" w:rsidRDefault="009237F2" w:rsidP="00340997">
      <w:pPr>
        <w:pStyle w:val="ListParagraph"/>
        <w:numPr>
          <w:ilvl w:val="0"/>
          <w:numId w:val="6"/>
        </w:numPr>
        <w:spacing w:before="120" w:after="120" w:line="240" w:lineRule="auto"/>
        <w:rPr>
          <w:color w:val="000000" w:themeColor="text1"/>
        </w:rPr>
      </w:pPr>
      <w:r w:rsidRPr="00AE602F">
        <w:rPr>
          <w:color w:val="000000" w:themeColor="text1"/>
        </w:rPr>
        <w:t xml:space="preserve">Achieving </w:t>
      </w:r>
      <w:r w:rsidR="00E1618B" w:rsidRPr="00AE602F">
        <w:rPr>
          <w:color w:val="000000" w:themeColor="text1"/>
        </w:rPr>
        <w:t xml:space="preserve">the </w:t>
      </w:r>
      <w:r w:rsidRPr="00AE602F">
        <w:rPr>
          <w:color w:val="000000" w:themeColor="text1"/>
        </w:rPr>
        <w:t>required tes</w:t>
      </w:r>
      <w:r w:rsidR="0078794A" w:rsidRPr="00AE602F">
        <w:rPr>
          <w:color w:val="000000" w:themeColor="text1"/>
        </w:rPr>
        <w:t xml:space="preserve">t score on at least one </w:t>
      </w:r>
      <w:r w:rsidRPr="00AE602F">
        <w:rPr>
          <w:color w:val="000000" w:themeColor="text1"/>
        </w:rPr>
        <w:t>approved language proficiency exams/tests</w:t>
      </w:r>
      <w:r w:rsidR="00BE6680" w:rsidRPr="00AE602F">
        <w:rPr>
          <w:color w:val="000000" w:themeColor="text1"/>
        </w:rPr>
        <w:t>. The scores</w:t>
      </w:r>
      <w:r w:rsidR="00BE6680" w:rsidRPr="008364C9">
        <w:rPr>
          <w:color w:val="000000" w:themeColor="text1"/>
        </w:rPr>
        <w:t xml:space="preserve"> must </w:t>
      </w:r>
      <w:r w:rsidR="00B0784B">
        <w:rPr>
          <w:color w:val="000000" w:themeColor="text1"/>
        </w:rPr>
        <w:t>from within the past 24 months at time of application to the University</w:t>
      </w:r>
      <w:r w:rsidR="00BE6680" w:rsidRPr="008364C9">
        <w:rPr>
          <w:color w:val="000000" w:themeColor="text1"/>
        </w:rPr>
        <w:t>.</w:t>
      </w:r>
      <w:r w:rsidR="009A1597" w:rsidRPr="008364C9">
        <w:rPr>
          <w:color w:val="000000" w:themeColor="text1"/>
        </w:rPr>
        <w:t xml:space="preserve"> </w:t>
      </w:r>
      <w:r w:rsidR="008E343D" w:rsidRPr="008364C9">
        <w:rPr>
          <w:color w:val="000000" w:themeColor="text1"/>
        </w:rPr>
        <w:t>The approved exams/tests and minimum required scores are as follows.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914"/>
        <w:gridCol w:w="4332"/>
      </w:tblGrid>
      <w:tr w:rsidR="0040658E" w:rsidTr="000A1FCF"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spacing w:before="120" w:after="120"/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Exam</w:t>
            </w:r>
          </w:p>
        </w:tc>
        <w:tc>
          <w:tcPr>
            <w:tcW w:w="7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spacing w:before="120" w:after="120"/>
              <w:contextualSpacing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Minimum Score</w:t>
            </w:r>
          </w:p>
        </w:tc>
      </w:tr>
      <w:tr w:rsidR="0040658E" w:rsidTr="000A1FCF"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58E" w:rsidRDefault="004065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spacing w:before="120" w:after="120"/>
              <w:contextualSpacing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Undergraduate Programs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spacing w:before="120" w:after="120"/>
              <w:contextualSpacing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Graduate Programs</w:t>
            </w:r>
          </w:p>
        </w:tc>
      </w:tr>
      <w:tr w:rsidR="0040658E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TOEFL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500 (Paper) </w:t>
            </w:r>
          </w:p>
          <w:p w:rsidR="0040658E" w:rsidRDefault="0040658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173 (Computer-based) </w:t>
            </w:r>
          </w:p>
          <w:p w:rsidR="0040658E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61 (Internet-based)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550 (Paper) </w:t>
            </w:r>
          </w:p>
          <w:p w:rsidR="0040658E" w:rsidRDefault="0040658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213 (Computer-based) </w:t>
            </w:r>
          </w:p>
          <w:p w:rsidR="0040658E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80 (Internet-based)</w:t>
            </w:r>
          </w:p>
        </w:tc>
      </w:tr>
      <w:tr w:rsidR="0040658E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IELTS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6.0 overall band score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CB" w:rsidRPr="00AE602F" w:rsidRDefault="00894ACB" w:rsidP="00492391">
            <w:pPr>
              <w:spacing w:before="120" w:after="120"/>
              <w:contextualSpacing/>
              <w:rPr>
                <w:color w:val="000000"/>
              </w:rPr>
            </w:pPr>
            <w:r w:rsidRPr="00AE602F">
              <w:rPr>
                <w:color w:val="000000"/>
              </w:rPr>
              <w:t xml:space="preserve">6.5 overall band score </w:t>
            </w:r>
          </w:p>
        </w:tc>
      </w:tr>
      <w:tr w:rsidR="0040658E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EIKEN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Grade 2A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Grade Pre-1</w:t>
            </w:r>
          </w:p>
        </w:tc>
      </w:tr>
      <w:tr w:rsidR="0040658E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IB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5 on English A1 or A2 exam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Not accepted for Graduate Admission</w:t>
            </w:r>
          </w:p>
        </w:tc>
      </w:tr>
      <w:tr w:rsidR="0040658E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Cambridge English Tests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 xml:space="preserve">FCE or CAE </w:t>
            </w:r>
          </w:p>
          <w:p w:rsidR="0040658E" w:rsidRPr="00AE602F" w:rsidRDefault="000A1FCF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(minimum score of B2</w:t>
            </w:r>
            <w:r w:rsidR="0040658E" w:rsidRPr="00AE602F">
              <w:rPr>
                <w:color w:val="000000"/>
              </w:rPr>
              <w:t>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 xml:space="preserve">CAE or CPE </w:t>
            </w:r>
          </w:p>
          <w:p w:rsidR="0040658E" w:rsidRPr="00AE602F" w:rsidRDefault="000A1FCF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(minimum score of C1</w:t>
            </w:r>
            <w:r w:rsidR="0040658E" w:rsidRPr="00AE602F">
              <w:rPr>
                <w:color w:val="000000"/>
              </w:rPr>
              <w:t xml:space="preserve">) </w:t>
            </w:r>
          </w:p>
        </w:tc>
      </w:tr>
      <w:tr w:rsidR="000A1FCF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CF" w:rsidRPr="00AE602F" w:rsidRDefault="000A1FCF">
            <w:pPr>
              <w:spacing w:before="120" w:after="120"/>
              <w:contextualSpacing/>
              <w:rPr>
                <w:color w:val="000000"/>
              </w:rPr>
            </w:pPr>
            <w:r w:rsidRPr="00AE602F">
              <w:rPr>
                <w:color w:val="000000"/>
              </w:rPr>
              <w:t>Oxford Online Placement Test (OOPT)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CF" w:rsidRPr="00AE602F" w:rsidRDefault="000A1FCF">
            <w:pPr>
              <w:spacing w:before="120" w:after="120"/>
              <w:contextualSpacing/>
              <w:rPr>
                <w:color w:val="000000"/>
              </w:rPr>
            </w:pPr>
          </w:p>
          <w:p w:rsidR="000A1FCF" w:rsidRPr="00AE602F" w:rsidRDefault="000A1FCF">
            <w:pPr>
              <w:spacing w:before="120" w:after="120"/>
              <w:contextualSpacing/>
              <w:rPr>
                <w:color w:val="000000"/>
              </w:rPr>
            </w:pPr>
            <w:r w:rsidRPr="00AE602F">
              <w:rPr>
                <w:color w:val="000000"/>
              </w:rPr>
              <w:t>61 (minimum score)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CF" w:rsidRPr="00AE602F" w:rsidRDefault="000A1FCF">
            <w:pPr>
              <w:spacing w:before="120" w:after="120"/>
              <w:contextualSpacing/>
              <w:rPr>
                <w:color w:val="000000"/>
              </w:rPr>
            </w:pPr>
          </w:p>
          <w:p w:rsidR="000A1FCF" w:rsidRPr="00AE602F" w:rsidRDefault="000A1FCF">
            <w:pPr>
              <w:spacing w:before="120" w:after="120"/>
              <w:contextualSpacing/>
              <w:rPr>
                <w:color w:val="000000"/>
              </w:rPr>
            </w:pPr>
            <w:r w:rsidRPr="00AE602F">
              <w:rPr>
                <w:color w:val="000000"/>
              </w:rPr>
              <w:t>80 (minimum score)</w:t>
            </w:r>
          </w:p>
        </w:tc>
      </w:tr>
      <w:tr w:rsidR="0040658E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ELS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Level 112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Level 112</w:t>
            </w:r>
          </w:p>
        </w:tc>
      </w:tr>
      <w:tr w:rsidR="0040658E" w:rsidTr="00AF2337"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ACT / SAT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 xml:space="preserve">ACT – 18 for both composite and reading sub-score </w:t>
            </w:r>
          </w:p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SAT – 450 Critical Reading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8E" w:rsidRPr="00AE602F" w:rsidRDefault="0040658E">
            <w:pPr>
              <w:spacing w:before="120" w:after="120"/>
              <w:contextualSpacing/>
              <w:rPr>
                <w:rFonts w:ascii="Calibri" w:hAnsi="Calibri"/>
                <w:color w:val="000000"/>
              </w:rPr>
            </w:pPr>
            <w:r w:rsidRPr="00AE602F">
              <w:rPr>
                <w:color w:val="000000"/>
              </w:rPr>
              <w:t>Not accepted for Graduate Admission</w:t>
            </w:r>
          </w:p>
        </w:tc>
      </w:tr>
      <w:tr w:rsidR="00894ACB" w:rsidTr="000A1FCF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CB" w:rsidRPr="00AE602F" w:rsidRDefault="00894ACB">
            <w:pPr>
              <w:spacing w:before="120" w:after="120"/>
              <w:contextualSpacing/>
              <w:rPr>
                <w:color w:val="000000"/>
              </w:rPr>
            </w:pPr>
            <w:r w:rsidRPr="00AE602F">
              <w:rPr>
                <w:color w:val="000000"/>
              </w:rPr>
              <w:t xml:space="preserve">PTE Academic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CB" w:rsidRPr="00AE602F" w:rsidRDefault="00894ACB">
            <w:pPr>
              <w:autoSpaceDE w:val="0"/>
              <w:autoSpaceDN w:val="0"/>
              <w:rPr>
                <w:color w:val="000000"/>
              </w:rPr>
            </w:pPr>
            <w:r w:rsidRPr="00AE602F">
              <w:rPr>
                <w:color w:val="000000"/>
              </w:rPr>
              <w:t>61 (minimum score)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CB" w:rsidRPr="00AE602F" w:rsidRDefault="00894ACB">
            <w:pPr>
              <w:spacing w:before="120" w:after="120"/>
              <w:contextualSpacing/>
              <w:rPr>
                <w:color w:val="000000"/>
              </w:rPr>
            </w:pPr>
            <w:r w:rsidRPr="00AE602F">
              <w:rPr>
                <w:color w:val="000000"/>
              </w:rPr>
              <w:t>80 (minimum score)</w:t>
            </w:r>
          </w:p>
        </w:tc>
      </w:tr>
    </w:tbl>
    <w:p w:rsidR="008E343D" w:rsidRPr="008364C9" w:rsidRDefault="008E343D" w:rsidP="00D46690">
      <w:pPr>
        <w:spacing w:before="120" w:after="120" w:line="240" w:lineRule="auto"/>
        <w:contextualSpacing/>
        <w:rPr>
          <w:color w:val="000000" w:themeColor="text1"/>
        </w:rPr>
      </w:pPr>
    </w:p>
    <w:p w:rsidR="00C86D5E" w:rsidRDefault="00A56674" w:rsidP="00A56674">
      <w:pPr>
        <w:rPr>
          <w:color w:val="000000" w:themeColor="text1"/>
        </w:rPr>
      </w:pPr>
      <w:r w:rsidRPr="008364C9">
        <w:rPr>
          <w:color w:val="000000" w:themeColor="text1"/>
        </w:rPr>
        <w:t>A</w:t>
      </w:r>
      <w:r w:rsidR="00A160B4" w:rsidRPr="008364C9">
        <w:rPr>
          <w:color w:val="000000" w:themeColor="text1"/>
        </w:rPr>
        <w:t xml:space="preserve">pplicants </w:t>
      </w:r>
      <w:r w:rsidRPr="008364C9">
        <w:rPr>
          <w:color w:val="000000" w:themeColor="text1"/>
        </w:rPr>
        <w:t xml:space="preserve">who cannot demonstrate </w:t>
      </w:r>
      <w:r w:rsidR="00B0784B">
        <w:rPr>
          <w:color w:val="000000" w:themeColor="text1"/>
        </w:rPr>
        <w:t xml:space="preserve">sufficient </w:t>
      </w:r>
      <w:r w:rsidRPr="008364C9">
        <w:rPr>
          <w:color w:val="000000" w:themeColor="text1"/>
        </w:rPr>
        <w:t xml:space="preserve">English proficiency </w:t>
      </w:r>
      <w:r w:rsidR="00DE1A2D" w:rsidRPr="008364C9">
        <w:rPr>
          <w:color w:val="000000" w:themeColor="text1"/>
        </w:rPr>
        <w:t xml:space="preserve">may be admitted </w:t>
      </w:r>
      <w:r w:rsidR="00DE1A2D" w:rsidRPr="008364C9">
        <w:rPr>
          <w:b/>
          <w:color w:val="000000" w:themeColor="text1"/>
        </w:rPr>
        <w:t>conditionally</w:t>
      </w:r>
      <w:r w:rsidR="00B0784B">
        <w:rPr>
          <w:b/>
          <w:color w:val="000000" w:themeColor="text1"/>
        </w:rPr>
        <w:t xml:space="preserve"> (at the discretion of the University)</w:t>
      </w:r>
      <w:r w:rsidR="00DE1A2D" w:rsidRPr="008364C9">
        <w:rPr>
          <w:b/>
          <w:color w:val="000000" w:themeColor="text1"/>
        </w:rPr>
        <w:t xml:space="preserve">, </w:t>
      </w:r>
      <w:r w:rsidR="00DE1A2D" w:rsidRPr="00B0784B">
        <w:rPr>
          <w:color w:val="000000" w:themeColor="text1"/>
        </w:rPr>
        <w:t>i</w:t>
      </w:r>
      <w:r w:rsidR="00A160B4" w:rsidRPr="00B0784B">
        <w:rPr>
          <w:color w:val="000000" w:themeColor="text1"/>
        </w:rPr>
        <w:t>n which</w:t>
      </w:r>
      <w:r w:rsidR="00A160B4" w:rsidRPr="008364C9">
        <w:rPr>
          <w:color w:val="000000" w:themeColor="text1"/>
        </w:rPr>
        <w:t xml:space="preserve"> case students will be enrol</w:t>
      </w:r>
      <w:r w:rsidRPr="008364C9">
        <w:rPr>
          <w:color w:val="000000" w:themeColor="text1"/>
        </w:rPr>
        <w:t>led</w:t>
      </w:r>
      <w:r w:rsidR="00340997" w:rsidRPr="008364C9">
        <w:rPr>
          <w:color w:val="000000" w:themeColor="text1"/>
        </w:rPr>
        <w:t xml:space="preserve"> in </w:t>
      </w:r>
      <w:r w:rsidR="00B0784B">
        <w:rPr>
          <w:color w:val="000000" w:themeColor="text1"/>
        </w:rPr>
        <w:t>Northwood University’s</w:t>
      </w:r>
      <w:r w:rsidR="00340997" w:rsidRPr="008364C9">
        <w:rPr>
          <w:color w:val="000000" w:themeColor="text1"/>
        </w:rPr>
        <w:t xml:space="preserve"> </w:t>
      </w:r>
      <w:r w:rsidR="00B0784B">
        <w:rPr>
          <w:color w:val="000000" w:themeColor="text1"/>
        </w:rPr>
        <w:t>Intensive English Program</w:t>
      </w:r>
      <w:r w:rsidR="00340997" w:rsidRPr="008364C9">
        <w:rPr>
          <w:color w:val="000000" w:themeColor="text1"/>
        </w:rPr>
        <w:t>.</w:t>
      </w:r>
    </w:p>
    <w:p w:rsidR="000544E0" w:rsidRDefault="000544E0" w:rsidP="000544E0">
      <w:pPr>
        <w:spacing w:before="60" w:after="60"/>
        <w:rPr>
          <w:b/>
          <w:sz w:val="24"/>
        </w:rPr>
      </w:pPr>
      <w:r>
        <w:rPr>
          <w:b/>
          <w:sz w:val="24"/>
        </w:rPr>
        <w:t>Why the Policy Exists:</w:t>
      </w:r>
    </w:p>
    <w:p w:rsidR="00710F79" w:rsidRPr="004F0BD6" w:rsidRDefault="009237F2" w:rsidP="000544E0">
      <w:pPr>
        <w:spacing w:before="60" w:after="60"/>
      </w:pPr>
      <w:r>
        <w:t>English is the language used to teach classes at Northwo</w:t>
      </w:r>
      <w:r w:rsidR="00710F38">
        <w:t xml:space="preserve">od University and therefore </w:t>
      </w:r>
      <w:r>
        <w:t xml:space="preserve">students </w:t>
      </w:r>
      <w:r w:rsidR="00710F38">
        <w:t>need to be proficient in English to be successful</w:t>
      </w:r>
      <w:r>
        <w:t xml:space="preserve">. </w:t>
      </w:r>
      <w:r w:rsidR="007D6892">
        <w:t xml:space="preserve">The policy exists to </w:t>
      </w:r>
      <w:r w:rsidR="00167CD9">
        <w:t>support the success of students whose first language is not English by providing</w:t>
      </w:r>
      <w:r w:rsidR="007D6892">
        <w:t xml:space="preserve"> </w:t>
      </w:r>
      <w:r w:rsidR="00B0784B">
        <w:t>them</w:t>
      </w:r>
      <w:r w:rsidR="007D6892">
        <w:t xml:space="preserve"> </w:t>
      </w:r>
      <w:r w:rsidR="00B0784B">
        <w:t xml:space="preserve">with clear </w:t>
      </w:r>
      <w:r>
        <w:t>English proficiency expectations.</w:t>
      </w:r>
    </w:p>
    <w:p w:rsidR="000544E0" w:rsidRDefault="000544E0" w:rsidP="000544E0">
      <w:pPr>
        <w:spacing w:before="60" w:after="60"/>
        <w:rPr>
          <w:b/>
          <w:sz w:val="24"/>
        </w:rPr>
      </w:pPr>
      <w:r>
        <w:rPr>
          <w:b/>
          <w:sz w:val="24"/>
        </w:rPr>
        <w:t>Applicability:</w:t>
      </w:r>
    </w:p>
    <w:p w:rsidR="008364C9" w:rsidRDefault="00710F38" w:rsidP="000544E0">
      <w:pPr>
        <w:spacing w:before="60" w:after="60"/>
      </w:pPr>
      <w:r>
        <w:t xml:space="preserve">The policy applies to </w:t>
      </w:r>
      <w:r w:rsidR="007D6892">
        <w:t>Inte</w:t>
      </w:r>
      <w:r w:rsidR="00C86D5E">
        <w:t xml:space="preserve">rnational </w:t>
      </w:r>
      <w:r>
        <w:t>S</w:t>
      </w:r>
      <w:r w:rsidR="00C86D5E">
        <w:t>tudents</w:t>
      </w:r>
      <w:r w:rsidR="00900491">
        <w:t>, including guest students,</w:t>
      </w:r>
      <w:r w:rsidR="00C86D5E">
        <w:t xml:space="preserve"> applying to study at Northwood University</w:t>
      </w:r>
      <w:r w:rsidR="00EC3583">
        <w:t>’s</w:t>
      </w:r>
      <w:r w:rsidR="00900491">
        <w:t xml:space="preserve"> US locations.</w:t>
      </w:r>
    </w:p>
    <w:p w:rsidR="000544E0" w:rsidRPr="008364C9" w:rsidRDefault="000544E0" w:rsidP="000544E0">
      <w:pPr>
        <w:spacing w:before="60" w:after="60"/>
        <w:rPr>
          <w:b/>
          <w:color w:val="000000" w:themeColor="text1"/>
          <w:sz w:val="24"/>
        </w:rPr>
      </w:pPr>
      <w:r w:rsidRPr="008364C9">
        <w:rPr>
          <w:b/>
          <w:color w:val="000000" w:themeColor="text1"/>
          <w:sz w:val="24"/>
        </w:rPr>
        <w:t>Definition of Key Terms:</w:t>
      </w:r>
    </w:p>
    <w:p w:rsidR="000544E0" w:rsidRPr="008364C9" w:rsidRDefault="00C86D5E" w:rsidP="00A160B4">
      <w:pPr>
        <w:spacing w:before="120" w:after="120" w:line="240" w:lineRule="auto"/>
        <w:contextualSpacing/>
        <w:rPr>
          <w:color w:val="000000" w:themeColor="text1"/>
        </w:rPr>
      </w:pPr>
      <w:r w:rsidRPr="008364C9">
        <w:rPr>
          <w:color w:val="000000" w:themeColor="text1"/>
        </w:rPr>
        <w:t xml:space="preserve">International Students: </w:t>
      </w:r>
      <w:r w:rsidR="00A56674" w:rsidRPr="008364C9">
        <w:rPr>
          <w:color w:val="000000" w:themeColor="text1"/>
        </w:rPr>
        <w:t>Students that are not US citizens.</w:t>
      </w:r>
    </w:p>
    <w:p w:rsidR="009237F2" w:rsidRPr="008364C9" w:rsidRDefault="009237F2" w:rsidP="00A160B4">
      <w:pPr>
        <w:spacing w:before="120" w:after="120" w:line="240" w:lineRule="auto"/>
        <w:contextualSpacing/>
        <w:rPr>
          <w:color w:val="000000" w:themeColor="text1"/>
        </w:rPr>
      </w:pPr>
      <w:r w:rsidRPr="008364C9">
        <w:rPr>
          <w:color w:val="000000" w:themeColor="text1"/>
        </w:rPr>
        <w:t>Guest Students:</w:t>
      </w:r>
      <w:r w:rsidR="00DE1A2D" w:rsidRPr="008364C9">
        <w:rPr>
          <w:color w:val="000000" w:themeColor="text1"/>
        </w:rPr>
        <w:t xml:space="preserve"> Guest students are defined as non-degree seeking students.</w:t>
      </w:r>
    </w:p>
    <w:p w:rsidR="000544E0" w:rsidRPr="008364C9" w:rsidRDefault="00340997" w:rsidP="00A160B4">
      <w:pPr>
        <w:spacing w:before="120" w:after="120" w:line="240" w:lineRule="auto"/>
        <w:contextualSpacing/>
        <w:rPr>
          <w:color w:val="000000" w:themeColor="text1"/>
        </w:rPr>
      </w:pPr>
      <w:r w:rsidRPr="008364C9">
        <w:rPr>
          <w:color w:val="000000" w:themeColor="text1"/>
        </w:rPr>
        <w:t>Intensive English Program:</w:t>
      </w:r>
      <w:r w:rsidR="00DE1A2D" w:rsidRPr="008364C9">
        <w:rPr>
          <w:color w:val="000000" w:themeColor="text1"/>
        </w:rPr>
        <w:t xml:space="preserve"> The Intensive English Program is defined as a full-time or part-time program designed for non-English speaking students. The IEP prepares students for success in academic programs by teaching English skills and American classroom culture.</w:t>
      </w:r>
    </w:p>
    <w:p w:rsidR="00DE1A2D" w:rsidRPr="008364C9" w:rsidRDefault="00DE1A2D" w:rsidP="00A160B4">
      <w:pPr>
        <w:spacing w:before="120" w:after="120" w:line="240" w:lineRule="auto"/>
        <w:contextualSpacing/>
        <w:rPr>
          <w:color w:val="000000" w:themeColor="text1"/>
        </w:rPr>
      </w:pPr>
    </w:p>
    <w:p w:rsidR="00A160B4" w:rsidRPr="008364C9" w:rsidRDefault="00A160B4" w:rsidP="00A160B4">
      <w:pPr>
        <w:spacing w:before="120" w:after="120" w:line="240" w:lineRule="auto"/>
        <w:contextualSpacing/>
        <w:rPr>
          <w:color w:val="000000" w:themeColor="text1"/>
        </w:rPr>
      </w:pPr>
      <w:r w:rsidRPr="008364C9">
        <w:rPr>
          <w:color w:val="000000" w:themeColor="text1"/>
        </w:rPr>
        <w:t>English Proficiency Tests</w:t>
      </w:r>
      <w:r w:rsidR="008364C9">
        <w:rPr>
          <w:color w:val="000000" w:themeColor="text1"/>
        </w:rPr>
        <w:t xml:space="preserve"> </w:t>
      </w:r>
      <w:r w:rsidR="00DE1A2D" w:rsidRPr="008364C9">
        <w:rPr>
          <w:color w:val="000000" w:themeColor="text1"/>
        </w:rPr>
        <w:t>used for admission to U.S. universities and colleges</w:t>
      </w:r>
      <w:r w:rsidR="008364C9">
        <w:rPr>
          <w:color w:val="000000" w:themeColor="text1"/>
        </w:rPr>
        <w:t>.</w:t>
      </w:r>
    </w:p>
    <w:p w:rsidR="00E1618B" w:rsidRPr="00EC3583" w:rsidRDefault="00E1618B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>TOEFL: Test of English as a Foreign Language</w:t>
      </w:r>
    </w:p>
    <w:p w:rsidR="00E1618B" w:rsidRPr="00EC3583" w:rsidRDefault="00E1618B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>IELTS: International English Language Testing System</w:t>
      </w:r>
    </w:p>
    <w:p w:rsidR="00E1618B" w:rsidRPr="00EC3583" w:rsidRDefault="00196EBA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>STEP</w:t>
      </w:r>
      <w:r w:rsidR="00DE1A2D" w:rsidRPr="00EC3583">
        <w:rPr>
          <w:rFonts w:asciiTheme="minorHAnsi" w:hAnsiTheme="minorHAnsi" w:cs="Calibri"/>
          <w:color w:val="auto"/>
          <w:sz w:val="22"/>
          <w:szCs w:val="22"/>
        </w:rPr>
        <w:t xml:space="preserve"> EIKEN</w:t>
      </w:r>
      <w:r w:rsidRPr="00EC3583">
        <w:rPr>
          <w:rFonts w:asciiTheme="minorHAnsi" w:hAnsiTheme="minorHAnsi" w:cs="Calibri"/>
          <w:color w:val="auto"/>
          <w:sz w:val="22"/>
          <w:szCs w:val="22"/>
        </w:rPr>
        <w:t>:</w:t>
      </w:r>
      <w:r w:rsidR="00DE1A2D" w:rsidRPr="00EC3583">
        <w:rPr>
          <w:rFonts w:asciiTheme="minorHAnsi" w:hAnsiTheme="minorHAnsi" w:cs="Calibri"/>
          <w:color w:val="auto"/>
          <w:sz w:val="22"/>
          <w:szCs w:val="22"/>
        </w:rPr>
        <w:t xml:space="preserve"> Test in Practical English Proficiency (Japan)</w:t>
      </w:r>
    </w:p>
    <w:p w:rsidR="00E1618B" w:rsidRDefault="00196EBA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>Cambridge</w:t>
      </w:r>
      <w:r w:rsidR="00DE1A2D" w:rsidRPr="00EC3583">
        <w:rPr>
          <w:rFonts w:asciiTheme="minorHAnsi" w:hAnsiTheme="minorHAnsi" w:cs="Calibri"/>
          <w:color w:val="auto"/>
          <w:sz w:val="22"/>
          <w:szCs w:val="22"/>
        </w:rPr>
        <w:t xml:space="preserve"> English</w:t>
      </w:r>
      <w:r w:rsidR="00EC3583">
        <w:rPr>
          <w:rFonts w:asciiTheme="minorHAnsi" w:hAnsiTheme="minorHAnsi" w:cs="Calibri"/>
          <w:color w:val="auto"/>
          <w:sz w:val="22"/>
          <w:szCs w:val="22"/>
        </w:rPr>
        <w:t xml:space="preserve"> Tests</w:t>
      </w:r>
    </w:p>
    <w:p w:rsidR="006D405B" w:rsidRPr="00EC3583" w:rsidRDefault="006D405B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Oxford Online Placement Test</w:t>
      </w:r>
    </w:p>
    <w:p w:rsidR="00E1618B" w:rsidRPr="00EC3583" w:rsidRDefault="008364C9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 xml:space="preserve">IB: International Baccalaureate </w:t>
      </w:r>
      <w:r w:rsidR="00E1618B" w:rsidRPr="00EC3583">
        <w:rPr>
          <w:rFonts w:asciiTheme="minorHAnsi" w:hAnsiTheme="minorHAnsi" w:cs="Calibri"/>
          <w:color w:val="auto"/>
          <w:sz w:val="22"/>
          <w:szCs w:val="22"/>
        </w:rPr>
        <w:t>exams</w:t>
      </w:r>
      <w:r w:rsidRPr="00EC3583">
        <w:rPr>
          <w:rFonts w:asciiTheme="minorHAnsi" w:hAnsiTheme="minorHAnsi" w:cs="Calibri"/>
          <w:color w:val="auto"/>
          <w:sz w:val="22"/>
          <w:szCs w:val="22"/>
        </w:rPr>
        <w:t xml:space="preserve"> (undergraduate admission only)</w:t>
      </w:r>
    </w:p>
    <w:p w:rsidR="00E1618B" w:rsidRPr="00EC3583" w:rsidRDefault="00E1618B" w:rsidP="00A160B4">
      <w:pPr>
        <w:pStyle w:val="Default"/>
        <w:spacing w:before="120" w:after="120"/>
        <w:ind w:left="720"/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>E</w:t>
      </w:r>
      <w:r w:rsidR="00196EBA" w:rsidRPr="00EC3583">
        <w:rPr>
          <w:rFonts w:asciiTheme="minorHAnsi" w:hAnsiTheme="minorHAnsi" w:cs="Calibri"/>
          <w:color w:val="auto"/>
          <w:sz w:val="22"/>
          <w:szCs w:val="22"/>
        </w:rPr>
        <w:t>LS</w:t>
      </w:r>
      <w:r w:rsidR="00EC3583">
        <w:rPr>
          <w:rFonts w:asciiTheme="minorHAnsi" w:hAnsiTheme="minorHAnsi" w:cs="Calibri"/>
          <w:color w:val="auto"/>
          <w:sz w:val="22"/>
          <w:szCs w:val="22"/>
        </w:rPr>
        <w:t>: the ESL</w:t>
      </w:r>
      <w:r w:rsidR="00196EBA" w:rsidRPr="00EC3583">
        <w:rPr>
          <w:rFonts w:asciiTheme="minorHAnsi" w:hAnsiTheme="minorHAnsi" w:cs="Calibri"/>
          <w:color w:val="auto"/>
          <w:sz w:val="22"/>
          <w:szCs w:val="22"/>
        </w:rPr>
        <w:t xml:space="preserve"> Language </w:t>
      </w:r>
      <w:r w:rsidR="00EC3583" w:rsidRPr="00EC3583">
        <w:rPr>
          <w:rFonts w:asciiTheme="minorHAnsi" w:hAnsiTheme="minorHAnsi" w:cs="Calibri"/>
          <w:color w:val="auto"/>
          <w:sz w:val="22"/>
          <w:szCs w:val="22"/>
        </w:rPr>
        <w:t>School Exam</w:t>
      </w:r>
    </w:p>
    <w:p w:rsidR="00EC3583" w:rsidRDefault="00EC3583" w:rsidP="00A160B4">
      <w:pPr>
        <w:pStyle w:val="Default"/>
        <w:spacing w:before="120" w:after="120"/>
        <w:ind w:left="720"/>
        <w:contextualSpacing/>
        <w:rPr>
          <w:rFonts w:asciiTheme="minorHAnsi" w:hAnsiTheme="minorHAnsi"/>
          <w:color w:val="auto"/>
          <w:sz w:val="22"/>
          <w:szCs w:val="22"/>
        </w:rPr>
      </w:pPr>
      <w:r w:rsidRPr="00EC3583">
        <w:rPr>
          <w:rFonts w:asciiTheme="minorHAnsi" w:hAnsiTheme="minorHAnsi" w:cs="Calibri"/>
          <w:color w:val="auto"/>
          <w:sz w:val="22"/>
          <w:szCs w:val="22"/>
        </w:rPr>
        <w:t xml:space="preserve">ACT </w:t>
      </w:r>
      <w:r>
        <w:rPr>
          <w:rFonts w:asciiTheme="minorHAnsi" w:hAnsiTheme="minorHAnsi" w:cs="Calibri"/>
          <w:color w:val="auto"/>
          <w:sz w:val="22"/>
          <w:szCs w:val="22"/>
        </w:rPr>
        <w:t>and</w:t>
      </w:r>
      <w:r w:rsidRPr="00EC3583">
        <w:rPr>
          <w:rFonts w:asciiTheme="minorHAnsi" w:hAnsiTheme="minorHAnsi" w:cs="Calibri"/>
          <w:color w:val="auto"/>
          <w:sz w:val="22"/>
          <w:szCs w:val="22"/>
        </w:rPr>
        <w:t xml:space="preserve"> SAT exams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: </w:t>
      </w:r>
      <w:r w:rsidRPr="00EC3583">
        <w:rPr>
          <w:rFonts w:asciiTheme="minorHAnsi" w:hAnsiTheme="minorHAnsi" w:cs="Calibri"/>
          <w:color w:val="auto"/>
          <w:sz w:val="22"/>
          <w:szCs w:val="22"/>
        </w:rPr>
        <w:t>US</w:t>
      </w:r>
      <w:r w:rsidRPr="00EC3583">
        <w:rPr>
          <w:rFonts w:asciiTheme="minorHAnsi" w:hAnsiTheme="minorHAnsi"/>
          <w:color w:val="auto"/>
          <w:sz w:val="22"/>
          <w:szCs w:val="22"/>
        </w:rPr>
        <w:t xml:space="preserve"> nationally used college (undergraduate) admissions examination </w:t>
      </w:r>
    </w:p>
    <w:p w:rsidR="009D4F02" w:rsidRPr="004F0BD6" w:rsidRDefault="009D4F02" w:rsidP="004F0BD6">
      <w:pPr>
        <w:pStyle w:val="Default"/>
        <w:spacing w:before="120" w:after="120"/>
        <w:ind w:left="720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PTE Academic: Pearson Test of English Academic</w:t>
      </w:r>
    </w:p>
    <w:p w:rsidR="000544E0" w:rsidRPr="00230467" w:rsidRDefault="000544E0" w:rsidP="000544E0">
      <w:pPr>
        <w:spacing w:before="60" w:after="60"/>
        <w:rPr>
          <w:sz w:val="20"/>
          <w:szCs w:val="20"/>
        </w:rPr>
      </w:pPr>
      <w:r w:rsidRPr="00B127F5">
        <w:rPr>
          <w:b/>
          <w:sz w:val="24"/>
        </w:rPr>
        <w:t>Revision</w:t>
      </w:r>
      <w:r>
        <w:rPr>
          <w:b/>
          <w:sz w:val="24"/>
        </w:rPr>
        <w:t xml:space="preserve"> 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5297"/>
        <w:gridCol w:w="2821"/>
      </w:tblGrid>
      <w:tr w:rsidR="000544E0" w:rsidRPr="00230467" w:rsidTr="00AF2337">
        <w:tc>
          <w:tcPr>
            <w:tcW w:w="1808" w:type="dxa"/>
          </w:tcPr>
          <w:p w:rsidR="000544E0" w:rsidRPr="00230467" w:rsidRDefault="000544E0" w:rsidP="00FB5FBC">
            <w:pPr>
              <w:jc w:val="center"/>
              <w:rPr>
                <w:sz w:val="20"/>
                <w:szCs w:val="20"/>
              </w:rPr>
            </w:pPr>
            <w:r w:rsidRPr="00230467">
              <w:rPr>
                <w:sz w:val="20"/>
                <w:szCs w:val="20"/>
              </w:rPr>
              <w:t>Date</w:t>
            </w:r>
          </w:p>
        </w:tc>
        <w:tc>
          <w:tcPr>
            <w:tcW w:w="5297" w:type="dxa"/>
          </w:tcPr>
          <w:p w:rsidR="000544E0" w:rsidRPr="00230467" w:rsidRDefault="000544E0" w:rsidP="00FB5FBC">
            <w:pPr>
              <w:jc w:val="center"/>
              <w:rPr>
                <w:sz w:val="20"/>
                <w:szCs w:val="20"/>
              </w:rPr>
            </w:pPr>
            <w:r w:rsidRPr="00230467">
              <w:rPr>
                <w:sz w:val="20"/>
                <w:szCs w:val="20"/>
              </w:rPr>
              <w:t>Changes:</w:t>
            </w:r>
          </w:p>
        </w:tc>
        <w:tc>
          <w:tcPr>
            <w:tcW w:w="2821" w:type="dxa"/>
          </w:tcPr>
          <w:p w:rsidR="000544E0" w:rsidRPr="00230467" w:rsidRDefault="000544E0" w:rsidP="00FB5FBC">
            <w:pPr>
              <w:jc w:val="center"/>
              <w:rPr>
                <w:sz w:val="20"/>
                <w:szCs w:val="20"/>
              </w:rPr>
            </w:pPr>
            <w:r w:rsidRPr="00230467">
              <w:rPr>
                <w:sz w:val="20"/>
                <w:szCs w:val="20"/>
              </w:rPr>
              <w:t>Approved By:</w:t>
            </w:r>
          </w:p>
        </w:tc>
      </w:tr>
      <w:tr w:rsidR="000544E0" w:rsidRPr="00230467" w:rsidTr="00AF2337">
        <w:tc>
          <w:tcPr>
            <w:tcW w:w="1808" w:type="dxa"/>
          </w:tcPr>
          <w:p w:rsidR="000544E0" w:rsidRPr="00230467" w:rsidRDefault="001B0BE3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April 2014</w:t>
            </w:r>
          </w:p>
        </w:tc>
        <w:tc>
          <w:tcPr>
            <w:tcW w:w="5297" w:type="dxa"/>
          </w:tcPr>
          <w:p w:rsidR="000544E0" w:rsidRPr="00230467" w:rsidRDefault="00D40FFA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created using standardized format incorporating existing requirements included those stated in the Academic Catalog.</w:t>
            </w:r>
          </w:p>
        </w:tc>
        <w:tc>
          <w:tcPr>
            <w:tcW w:w="2821" w:type="dxa"/>
          </w:tcPr>
          <w:p w:rsidR="000544E0" w:rsidRPr="00230467" w:rsidRDefault="008E386E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Institutional Effectiveness; Dean of International Programs</w:t>
            </w:r>
          </w:p>
        </w:tc>
      </w:tr>
      <w:tr w:rsidR="000544E0" w:rsidRPr="00230467" w:rsidTr="00AF2337">
        <w:tc>
          <w:tcPr>
            <w:tcW w:w="1808" w:type="dxa"/>
          </w:tcPr>
          <w:p w:rsidR="000544E0" w:rsidRPr="00230467" w:rsidRDefault="00710F79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May  2014</w:t>
            </w:r>
          </w:p>
        </w:tc>
        <w:tc>
          <w:tcPr>
            <w:tcW w:w="5297" w:type="dxa"/>
          </w:tcPr>
          <w:p w:rsidR="000544E0" w:rsidRPr="00230467" w:rsidRDefault="00710F79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Wording modified to improve clarity.</w:t>
            </w:r>
          </w:p>
        </w:tc>
        <w:tc>
          <w:tcPr>
            <w:tcW w:w="2821" w:type="dxa"/>
          </w:tcPr>
          <w:p w:rsidR="000544E0" w:rsidRPr="00230467" w:rsidRDefault="008E386E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Academic Officer</w:t>
            </w:r>
          </w:p>
        </w:tc>
      </w:tr>
      <w:tr w:rsidR="00912D6C" w:rsidRPr="00230467" w:rsidTr="00AF2337">
        <w:tc>
          <w:tcPr>
            <w:tcW w:w="1808" w:type="dxa"/>
          </w:tcPr>
          <w:p w:rsidR="00912D6C" w:rsidRDefault="00912D6C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May  2014</w:t>
            </w:r>
          </w:p>
        </w:tc>
        <w:tc>
          <w:tcPr>
            <w:tcW w:w="5297" w:type="dxa"/>
          </w:tcPr>
          <w:p w:rsidR="00912D6C" w:rsidRDefault="00912D6C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President/CEO Approval</w:t>
            </w:r>
          </w:p>
        </w:tc>
        <w:tc>
          <w:tcPr>
            <w:tcW w:w="2821" w:type="dxa"/>
          </w:tcPr>
          <w:p w:rsidR="00912D6C" w:rsidRDefault="00912D6C" w:rsidP="00FB5FBC">
            <w:pPr>
              <w:rPr>
                <w:sz w:val="20"/>
                <w:szCs w:val="20"/>
              </w:rPr>
            </w:pPr>
          </w:p>
        </w:tc>
      </w:tr>
      <w:tr w:rsidR="0040658E" w:rsidRPr="00230467" w:rsidTr="00AF2337">
        <w:tc>
          <w:tcPr>
            <w:tcW w:w="1808" w:type="dxa"/>
          </w:tcPr>
          <w:p w:rsidR="0040658E" w:rsidRDefault="0040658E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August 2014</w:t>
            </w:r>
          </w:p>
        </w:tc>
        <w:tc>
          <w:tcPr>
            <w:tcW w:w="5297" w:type="dxa"/>
          </w:tcPr>
          <w:p w:rsidR="0040658E" w:rsidRDefault="0040658E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name from STEP EIKEN to EIKEN and edited scores</w:t>
            </w:r>
          </w:p>
        </w:tc>
        <w:tc>
          <w:tcPr>
            <w:tcW w:w="2821" w:type="dxa"/>
          </w:tcPr>
          <w:p w:rsidR="0040658E" w:rsidRDefault="0040658E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Valdiserri</w:t>
            </w:r>
          </w:p>
        </w:tc>
      </w:tr>
      <w:tr w:rsidR="00D44E01" w:rsidRPr="00230467" w:rsidTr="00AF2337">
        <w:tc>
          <w:tcPr>
            <w:tcW w:w="1808" w:type="dxa"/>
          </w:tcPr>
          <w:p w:rsidR="00D44E01" w:rsidRDefault="001404F0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44E01">
              <w:rPr>
                <w:sz w:val="20"/>
                <w:szCs w:val="20"/>
              </w:rPr>
              <w:t xml:space="preserve"> November 2014</w:t>
            </w:r>
          </w:p>
        </w:tc>
        <w:tc>
          <w:tcPr>
            <w:tcW w:w="5297" w:type="dxa"/>
          </w:tcPr>
          <w:p w:rsidR="00D44E01" w:rsidRDefault="00D44E01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Cambridge English Tests and Oxford Online Placement Test (OOPT) to Exams</w:t>
            </w:r>
            <w:r w:rsidR="00B076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Minimum Scores for Undergraduate and Graduate Programs</w:t>
            </w:r>
          </w:p>
        </w:tc>
        <w:tc>
          <w:tcPr>
            <w:tcW w:w="2821" w:type="dxa"/>
          </w:tcPr>
          <w:p w:rsidR="00D44E01" w:rsidRDefault="00D44E01" w:rsidP="00FB5FBC">
            <w:pPr>
              <w:rPr>
                <w:sz w:val="20"/>
                <w:szCs w:val="20"/>
              </w:rPr>
            </w:pPr>
          </w:p>
          <w:p w:rsidR="001404F0" w:rsidRDefault="001404F0" w:rsidP="00FB5FBC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Kristin Stehouwer</w:t>
            </w:r>
            <w:bookmarkEnd w:id="0"/>
          </w:p>
        </w:tc>
      </w:tr>
      <w:tr w:rsidR="00522E52" w:rsidRPr="00230467" w:rsidTr="00AF2337">
        <w:tc>
          <w:tcPr>
            <w:tcW w:w="1808" w:type="dxa"/>
          </w:tcPr>
          <w:p w:rsidR="00522E52" w:rsidRDefault="00522E5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November 2014</w:t>
            </w:r>
          </w:p>
        </w:tc>
        <w:tc>
          <w:tcPr>
            <w:tcW w:w="5297" w:type="dxa"/>
          </w:tcPr>
          <w:p w:rsidR="00522E52" w:rsidRDefault="00522E5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President/CEO Approval</w:t>
            </w:r>
          </w:p>
        </w:tc>
        <w:tc>
          <w:tcPr>
            <w:tcW w:w="2821" w:type="dxa"/>
          </w:tcPr>
          <w:p w:rsidR="00522E52" w:rsidRDefault="00522E5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A. Pretty</w:t>
            </w:r>
          </w:p>
        </w:tc>
      </w:tr>
      <w:tr w:rsidR="009D4F02" w:rsidRPr="00230467" w:rsidTr="00AF2337">
        <w:tc>
          <w:tcPr>
            <w:tcW w:w="1808" w:type="dxa"/>
          </w:tcPr>
          <w:p w:rsidR="009D4F02" w:rsidRDefault="009D4F0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July 2016</w:t>
            </w:r>
          </w:p>
        </w:tc>
        <w:tc>
          <w:tcPr>
            <w:tcW w:w="5297" w:type="dxa"/>
          </w:tcPr>
          <w:p w:rsidR="009D4F02" w:rsidRDefault="009D4F0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Wording modified to improve clarity </w:t>
            </w:r>
          </w:p>
          <w:p w:rsidR="009D4F02" w:rsidRDefault="009D4F0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 to minimum scores for Graduate Programs on IELTS Test </w:t>
            </w:r>
          </w:p>
          <w:p w:rsidR="009D4F02" w:rsidRDefault="009D4F0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PTE Academic to Exams</w:t>
            </w:r>
          </w:p>
        </w:tc>
        <w:tc>
          <w:tcPr>
            <w:tcW w:w="2821" w:type="dxa"/>
          </w:tcPr>
          <w:p w:rsidR="009D4F02" w:rsidRDefault="009D4F02" w:rsidP="00F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Intensive English Program</w:t>
            </w:r>
            <w:r w:rsidR="00AE602F">
              <w:rPr>
                <w:sz w:val="20"/>
                <w:szCs w:val="20"/>
              </w:rPr>
              <w:t>; Dean of International Programs</w:t>
            </w:r>
          </w:p>
        </w:tc>
      </w:tr>
      <w:tr w:rsidR="00AE602F" w:rsidRPr="00230467" w:rsidTr="00AE602F">
        <w:tc>
          <w:tcPr>
            <w:tcW w:w="1808" w:type="dxa"/>
          </w:tcPr>
          <w:p w:rsidR="00AE602F" w:rsidRDefault="00AE602F" w:rsidP="00F2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August 2016</w:t>
            </w:r>
          </w:p>
        </w:tc>
        <w:tc>
          <w:tcPr>
            <w:tcW w:w="5297" w:type="dxa"/>
          </w:tcPr>
          <w:p w:rsidR="00AE602F" w:rsidRDefault="00AE602F" w:rsidP="00F2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President/CEO Approval</w:t>
            </w:r>
          </w:p>
        </w:tc>
        <w:tc>
          <w:tcPr>
            <w:tcW w:w="2821" w:type="dxa"/>
          </w:tcPr>
          <w:p w:rsidR="00AE602F" w:rsidRDefault="00AE602F" w:rsidP="00F24865">
            <w:pPr>
              <w:rPr>
                <w:sz w:val="20"/>
                <w:szCs w:val="20"/>
              </w:rPr>
            </w:pPr>
          </w:p>
        </w:tc>
      </w:tr>
    </w:tbl>
    <w:p w:rsidR="00C653C2" w:rsidRPr="00B127F5" w:rsidRDefault="00C653C2" w:rsidP="0045050E">
      <w:pPr>
        <w:spacing w:after="0"/>
      </w:pPr>
    </w:p>
    <w:sectPr w:rsidR="00C653C2" w:rsidRPr="00B127F5" w:rsidSect="005A0721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9E" w:rsidRDefault="000E109E" w:rsidP="00B127F5">
      <w:pPr>
        <w:spacing w:after="0" w:line="240" w:lineRule="auto"/>
      </w:pPr>
      <w:r>
        <w:separator/>
      </w:r>
    </w:p>
  </w:endnote>
  <w:endnote w:type="continuationSeparator" w:id="0">
    <w:p w:rsidR="000E109E" w:rsidRDefault="000E109E" w:rsidP="00B1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98"/>
      <w:gridCol w:w="338"/>
    </w:tblGrid>
    <w:tr w:rsidR="005A0721" w:rsidTr="005A0721">
      <w:tc>
        <w:tcPr>
          <w:tcW w:w="9828" w:type="dxa"/>
        </w:tcPr>
        <w:p w:rsidR="005A0721" w:rsidRDefault="005A0721" w:rsidP="00522E5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FILENAME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77DCE">
            <w:rPr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English Proficiency Policy Aug 2016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324" w:type="dxa"/>
        </w:tcPr>
        <w:p w:rsidR="005A0721" w:rsidRDefault="005A0721">
          <w:pPr>
            <w:pStyle w:val="Footer"/>
          </w:pPr>
          <w:r w:rsidRPr="005A0721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A0721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5A0721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E602F" w:rsidRPr="00AE602F">
            <w:rPr>
              <w:b/>
              <w:bCs/>
              <w:noProof/>
              <w:color w:val="4F81BD" w:themeColor="accent1"/>
              <w:sz w:val="24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5A0721">
            <w:rPr>
              <w:b/>
              <w:bCs/>
              <w:noProof/>
              <w:color w:val="4F81BD" w:themeColor="accent1"/>
              <w:sz w:val="24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</w:tr>
  </w:tbl>
  <w:p w:rsidR="005A0721" w:rsidRDefault="005A0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9E" w:rsidRDefault="000E109E" w:rsidP="00B127F5">
      <w:pPr>
        <w:spacing w:after="0" w:line="240" w:lineRule="auto"/>
      </w:pPr>
      <w:r>
        <w:separator/>
      </w:r>
    </w:p>
  </w:footnote>
  <w:footnote w:type="continuationSeparator" w:id="0">
    <w:p w:rsidR="000E109E" w:rsidRDefault="000E109E" w:rsidP="00B1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F5" w:rsidRDefault="00B127F5" w:rsidP="00B127F5">
    <w:pPr>
      <w:pStyle w:val="Header"/>
    </w:pPr>
    <w:r>
      <w:rPr>
        <w:rFonts w:ascii="AvantGarde Md BT" w:hAnsi="AvantGarde Md BT" w:cs="Arial"/>
        <w:noProof/>
        <w:sz w:val="36"/>
        <w:szCs w:val="36"/>
        <w:lang w:eastAsia="ja-JP"/>
      </w:rPr>
      <w:drawing>
        <wp:inline distT="0" distB="0" distL="0" distR="0" wp14:anchorId="6A9CD077" wp14:editId="1CF66343">
          <wp:extent cx="428625" cy="561975"/>
          <wp:effectExtent l="0" t="0" r="9525" b="9525"/>
          <wp:docPr id="1" name="Picture 1" descr="New NU Logo 282 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U Logo 282 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                                          </w:t>
    </w:r>
    <w:r w:rsidRPr="00B127F5">
      <w:rPr>
        <w:sz w:val="32"/>
      </w:rPr>
      <w:t>Academic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A2265B"/>
    <w:multiLevelType w:val="hybridMultilevel"/>
    <w:tmpl w:val="31D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6563"/>
    <w:multiLevelType w:val="hybridMultilevel"/>
    <w:tmpl w:val="158E2658"/>
    <w:lvl w:ilvl="0" w:tplc="41A6DF04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F5A42"/>
    <w:multiLevelType w:val="hybridMultilevel"/>
    <w:tmpl w:val="9FF4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6567C"/>
    <w:multiLevelType w:val="hybridMultilevel"/>
    <w:tmpl w:val="1FAA0E70"/>
    <w:lvl w:ilvl="0" w:tplc="297E4D7C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15954"/>
    <w:multiLevelType w:val="multilevel"/>
    <w:tmpl w:val="CD04B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E36208C"/>
    <w:multiLevelType w:val="hybridMultilevel"/>
    <w:tmpl w:val="92D6A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E3"/>
    <w:rsid w:val="00004182"/>
    <w:rsid w:val="000544E0"/>
    <w:rsid w:val="00060483"/>
    <w:rsid w:val="00094C47"/>
    <w:rsid w:val="000A1FCF"/>
    <w:rsid w:val="000C2958"/>
    <w:rsid w:val="000E109E"/>
    <w:rsid w:val="000F19C2"/>
    <w:rsid w:val="000F5E41"/>
    <w:rsid w:val="001404F0"/>
    <w:rsid w:val="00167CD9"/>
    <w:rsid w:val="0018319A"/>
    <w:rsid w:val="00196EBA"/>
    <w:rsid w:val="001B0BE3"/>
    <w:rsid w:val="001E65B2"/>
    <w:rsid w:val="001F4AD9"/>
    <w:rsid w:val="00230467"/>
    <w:rsid w:val="00273AF9"/>
    <w:rsid w:val="002F43E7"/>
    <w:rsid w:val="00322303"/>
    <w:rsid w:val="00330243"/>
    <w:rsid w:val="00340997"/>
    <w:rsid w:val="003561C5"/>
    <w:rsid w:val="00377DCE"/>
    <w:rsid w:val="003F0AC4"/>
    <w:rsid w:val="0040260A"/>
    <w:rsid w:val="0040658E"/>
    <w:rsid w:val="0045050E"/>
    <w:rsid w:val="00473895"/>
    <w:rsid w:val="00492391"/>
    <w:rsid w:val="004A4307"/>
    <w:rsid w:val="004B1E0D"/>
    <w:rsid w:val="004F0BD6"/>
    <w:rsid w:val="00522E52"/>
    <w:rsid w:val="0053279F"/>
    <w:rsid w:val="0055059B"/>
    <w:rsid w:val="0056210F"/>
    <w:rsid w:val="00563C60"/>
    <w:rsid w:val="00590E50"/>
    <w:rsid w:val="005A0721"/>
    <w:rsid w:val="005C4780"/>
    <w:rsid w:val="005E5B93"/>
    <w:rsid w:val="00697C83"/>
    <w:rsid w:val="006B4A1B"/>
    <w:rsid w:val="006D405B"/>
    <w:rsid w:val="00710F38"/>
    <w:rsid w:val="00710F79"/>
    <w:rsid w:val="00712FC6"/>
    <w:rsid w:val="00765824"/>
    <w:rsid w:val="007776D7"/>
    <w:rsid w:val="0078794A"/>
    <w:rsid w:val="007C136E"/>
    <w:rsid w:val="007D12A3"/>
    <w:rsid w:val="007D6892"/>
    <w:rsid w:val="0082605A"/>
    <w:rsid w:val="008364C9"/>
    <w:rsid w:val="008637D9"/>
    <w:rsid w:val="00880322"/>
    <w:rsid w:val="00894ACB"/>
    <w:rsid w:val="008A1D29"/>
    <w:rsid w:val="008A2B39"/>
    <w:rsid w:val="008A5C48"/>
    <w:rsid w:val="008B529F"/>
    <w:rsid w:val="008E343D"/>
    <w:rsid w:val="008E386E"/>
    <w:rsid w:val="008E45AB"/>
    <w:rsid w:val="00900491"/>
    <w:rsid w:val="00912D6C"/>
    <w:rsid w:val="009237F2"/>
    <w:rsid w:val="00941A8E"/>
    <w:rsid w:val="00945EA1"/>
    <w:rsid w:val="009A1597"/>
    <w:rsid w:val="009C5046"/>
    <w:rsid w:val="009D4F02"/>
    <w:rsid w:val="00A160B4"/>
    <w:rsid w:val="00A56674"/>
    <w:rsid w:val="00AE602F"/>
    <w:rsid w:val="00AF0D5D"/>
    <w:rsid w:val="00AF2337"/>
    <w:rsid w:val="00B01098"/>
    <w:rsid w:val="00B07667"/>
    <w:rsid w:val="00B0784B"/>
    <w:rsid w:val="00B127F5"/>
    <w:rsid w:val="00B245F0"/>
    <w:rsid w:val="00B7711A"/>
    <w:rsid w:val="00BE19BB"/>
    <w:rsid w:val="00BE6680"/>
    <w:rsid w:val="00BF3C1B"/>
    <w:rsid w:val="00C06056"/>
    <w:rsid w:val="00C30EF7"/>
    <w:rsid w:val="00C424D8"/>
    <w:rsid w:val="00C574E3"/>
    <w:rsid w:val="00C653C2"/>
    <w:rsid w:val="00C86D5E"/>
    <w:rsid w:val="00D40FFA"/>
    <w:rsid w:val="00D44E01"/>
    <w:rsid w:val="00D46690"/>
    <w:rsid w:val="00D854DF"/>
    <w:rsid w:val="00DB6725"/>
    <w:rsid w:val="00DE1A2D"/>
    <w:rsid w:val="00E1618B"/>
    <w:rsid w:val="00E30EF1"/>
    <w:rsid w:val="00E43052"/>
    <w:rsid w:val="00EA19B0"/>
    <w:rsid w:val="00EC3583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62A02-B4B8-4B86-9CAB-F9806D7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F5"/>
  </w:style>
  <w:style w:type="paragraph" w:styleId="Footer">
    <w:name w:val="footer"/>
    <w:basedOn w:val="Normal"/>
    <w:link w:val="FooterChar"/>
    <w:uiPriority w:val="99"/>
    <w:unhideWhenUsed/>
    <w:rsid w:val="00B1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F5"/>
  </w:style>
  <w:style w:type="paragraph" w:styleId="BalloonText">
    <w:name w:val="Balloon Text"/>
    <w:basedOn w:val="Normal"/>
    <w:link w:val="BalloonTextChar"/>
    <w:uiPriority w:val="99"/>
    <w:semiHidden/>
    <w:unhideWhenUsed/>
    <w:rsid w:val="00B1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7F5"/>
    <w:pPr>
      <w:spacing w:before="60" w:after="6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3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C47"/>
    <w:rPr>
      <w:color w:val="0000FF" w:themeColor="hyperlink"/>
      <w:u w:val="single"/>
    </w:rPr>
  </w:style>
  <w:style w:type="paragraph" w:customStyle="1" w:styleId="Default">
    <w:name w:val="Default"/>
    <w:rsid w:val="00E1618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AE21-3D90-4742-8B9C-ADFC92A0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University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Reeves, Mamiko</cp:lastModifiedBy>
  <cp:revision>2</cp:revision>
  <cp:lastPrinted>2016-08-09T22:01:00Z</cp:lastPrinted>
  <dcterms:created xsi:type="dcterms:W3CDTF">2016-08-11T18:51:00Z</dcterms:created>
  <dcterms:modified xsi:type="dcterms:W3CDTF">2016-08-11T18:51:00Z</dcterms:modified>
</cp:coreProperties>
</file>